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3"/>
        <w:gridCol w:w="7370"/>
      </w:tblGrid>
      <w:tr w:rsidR="00B71B0B" w:rsidRPr="00C937F0" w14:paraId="6551FFB1" w14:textId="77777777" w:rsidTr="009939F0">
        <w:trPr>
          <w:trHeight w:val="234"/>
        </w:trPr>
        <w:tc>
          <w:tcPr>
            <w:tcW w:w="1118" w:type="pct"/>
          </w:tcPr>
          <w:p w14:paraId="734EDEA2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 xml:space="preserve">Görev </w:t>
            </w:r>
            <w:r w:rsidRPr="00C937F0">
              <w:rPr>
                <w:b/>
                <w:spacing w:val="-2"/>
                <w:sz w:val="24"/>
                <w:szCs w:val="24"/>
              </w:rPr>
              <w:t>Unvanı</w:t>
            </w:r>
          </w:p>
        </w:tc>
        <w:tc>
          <w:tcPr>
            <w:tcW w:w="3882" w:type="pct"/>
          </w:tcPr>
          <w:p w14:paraId="33BFEF74" w14:textId="3CC8A0CC" w:rsidR="00B71B0B" w:rsidRPr="00C937F0" w:rsidRDefault="008870AF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Birim Laboratuvar Sorumlusu</w:t>
            </w:r>
            <w:bookmarkEnd w:id="0"/>
          </w:p>
        </w:tc>
      </w:tr>
      <w:tr w:rsidR="00B71B0B" w:rsidRPr="00C937F0" w14:paraId="688CB523" w14:textId="77777777" w:rsidTr="009939F0">
        <w:trPr>
          <w:trHeight w:val="234"/>
        </w:trPr>
        <w:tc>
          <w:tcPr>
            <w:tcW w:w="1118" w:type="pct"/>
          </w:tcPr>
          <w:p w14:paraId="15CB1F3E" w14:textId="77777777" w:rsidR="00B71B0B" w:rsidRPr="00C937F0" w:rsidRDefault="00B71B0B" w:rsidP="00B71B0B">
            <w:pPr>
              <w:pStyle w:val="TableParagraph"/>
              <w:spacing w:before="60"/>
              <w:ind w:right="57"/>
              <w:jc w:val="both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Birim Adı</w:t>
            </w:r>
          </w:p>
        </w:tc>
        <w:tc>
          <w:tcPr>
            <w:tcW w:w="3882" w:type="pct"/>
          </w:tcPr>
          <w:p w14:paraId="2C7A3D41" w14:textId="0D55527A" w:rsidR="00B71B0B" w:rsidRPr="00C937F0" w:rsidRDefault="00F94475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KUYAM</w:t>
            </w:r>
          </w:p>
        </w:tc>
      </w:tr>
      <w:tr w:rsidR="00B71B0B" w:rsidRPr="00C937F0" w14:paraId="74E04F65" w14:textId="77777777" w:rsidTr="009939F0">
        <w:trPr>
          <w:trHeight w:val="234"/>
        </w:trPr>
        <w:tc>
          <w:tcPr>
            <w:tcW w:w="1118" w:type="pct"/>
          </w:tcPr>
          <w:p w14:paraId="790DE756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 xml:space="preserve">Alt Birim </w:t>
            </w:r>
            <w:r w:rsidRPr="00C937F0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3882" w:type="pct"/>
          </w:tcPr>
          <w:p w14:paraId="2570D677" w14:textId="77777777" w:rsidR="00B71B0B" w:rsidRPr="00C937F0" w:rsidRDefault="00B71B0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-</w:t>
            </w:r>
          </w:p>
        </w:tc>
      </w:tr>
      <w:tr w:rsidR="00B71B0B" w:rsidRPr="00C937F0" w14:paraId="17951C66" w14:textId="77777777" w:rsidTr="009939F0">
        <w:trPr>
          <w:trHeight w:val="234"/>
        </w:trPr>
        <w:tc>
          <w:tcPr>
            <w:tcW w:w="1118" w:type="pct"/>
          </w:tcPr>
          <w:p w14:paraId="5C52D06C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Bağlı Olduğu Birim</w:t>
            </w:r>
          </w:p>
        </w:tc>
        <w:tc>
          <w:tcPr>
            <w:tcW w:w="3882" w:type="pct"/>
          </w:tcPr>
          <w:p w14:paraId="7012AD74" w14:textId="77777777" w:rsidR="00B71B0B" w:rsidRPr="00C937F0" w:rsidRDefault="00B71B0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Yükseköğretim Kurulu</w:t>
            </w:r>
          </w:p>
        </w:tc>
      </w:tr>
      <w:tr w:rsidR="00B71B0B" w:rsidRPr="00C937F0" w14:paraId="766B945B" w14:textId="77777777" w:rsidTr="009939F0">
        <w:trPr>
          <w:trHeight w:val="210"/>
        </w:trPr>
        <w:tc>
          <w:tcPr>
            <w:tcW w:w="1118" w:type="pct"/>
          </w:tcPr>
          <w:p w14:paraId="4E6F4634" w14:textId="77777777" w:rsidR="00B71B0B" w:rsidRPr="00C937F0" w:rsidRDefault="00BB6572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Bağlı Olan Birimler</w:t>
            </w:r>
          </w:p>
        </w:tc>
        <w:tc>
          <w:tcPr>
            <w:tcW w:w="3882" w:type="pct"/>
          </w:tcPr>
          <w:p w14:paraId="1DE507DE" w14:textId="77777777" w:rsidR="00B71B0B" w:rsidRPr="00C937F0" w:rsidRDefault="00B71B0B" w:rsidP="00B71B0B">
            <w:pPr>
              <w:pStyle w:val="TableParagraph"/>
              <w:spacing w:before="60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Tüm Akademik ve İdari Kadrolar</w:t>
            </w:r>
          </w:p>
        </w:tc>
      </w:tr>
      <w:tr w:rsidR="00B71B0B" w:rsidRPr="00C937F0" w14:paraId="2EA7D9DD" w14:textId="77777777" w:rsidTr="009939F0">
        <w:trPr>
          <w:trHeight w:val="354"/>
        </w:trPr>
        <w:tc>
          <w:tcPr>
            <w:tcW w:w="1118" w:type="pct"/>
          </w:tcPr>
          <w:p w14:paraId="1827568E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pacing w:val="-2"/>
                <w:sz w:val="24"/>
                <w:szCs w:val="24"/>
              </w:rPr>
              <w:t>Vekâlet/Görev Devri</w:t>
            </w:r>
          </w:p>
        </w:tc>
        <w:tc>
          <w:tcPr>
            <w:tcW w:w="3882" w:type="pct"/>
          </w:tcPr>
          <w:p w14:paraId="383043DA" w14:textId="77777777" w:rsidR="00B71B0B" w:rsidRPr="00C937F0" w:rsidRDefault="00B71B0B" w:rsidP="00B71B0B">
            <w:pPr>
              <w:pStyle w:val="TableParagraph"/>
              <w:spacing w:before="60"/>
              <w:ind w:left="113" w:right="57"/>
              <w:jc w:val="both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19.02.2019 tarih ve 04-02 sayılı Senato Kararı ile yürürlüğe giren Kütahya Sağlık Bilimleri Üniversitesi İmza Yönergesine göre seçilir.</w:t>
            </w:r>
          </w:p>
        </w:tc>
      </w:tr>
      <w:tr w:rsidR="00B71B0B" w:rsidRPr="00C937F0" w14:paraId="77E1B10C" w14:textId="77777777" w:rsidTr="009939F0">
        <w:trPr>
          <w:trHeight w:val="1075"/>
        </w:trPr>
        <w:tc>
          <w:tcPr>
            <w:tcW w:w="1118" w:type="pct"/>
          </w:tcPr>
          <w:p w14:paraId="785DBAB0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Görevin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37F0">
              <w:rPr>
                <w:b/>
                <w:spacing w:val="-2"/>
                <w:sz w:val="24"/>
                <w:szCs w:val="24"/>
              </w:rPr>
              <w:t>Gerektiği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37F0">
              <w:rPr>
                <w:b/>
                <w:spacing w:val="-2"/>
                <w:sz w:val="24"/>
                <w:szCs w:val="24"/>
              </w:rPr>
              <w:t>Nitelikler</w:t>
            </w:r>
          </w:p>
        </w:tc>
        <w:tc>
          <w:tcPr>
            <w:tcW w:w="3882" w:type="pct"/>
          </w:tcPr>
          <w:p w14:paraId="3ECFF61D" w14:textId="77777777" w:rsidR="008C227A" w:rsidRPr="00061F8A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061F8A">
              <w:rPr>
                <w:sz w:val="24"/>
                <w:szCs w:val="24"/>
              </w:rPr>
              <w:t>2547 sayılı Yükseköğretim Kanunu belirtilen niteliklere sahip olmak</w:t>
            </w:r>
          </w:p>
          <w:p w14:paraId="4B2179E5" w14:textId="77777777" w:rsidR="008C227A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4215C9">
              <w:rPr>
                <w:sz w:val="24"/>
                <w:szCs w:val="24"/>
              </w:rPr>
              <w:t>657 Sayılı Devlet Memurları Kanunu’nda belirtile</w:t>
            </w:r>
            <w:r>
              <w:rPr>
                <w:sz w:val="24"/>
                <w:szCs w:val="24"/>
              </w:rPr>
              <w:t>n genel niteliklere sahip olmaktır.</w:t>
            </w:r>
          </w:p>
          <w:p w14:paraId="673C6AAE" w14:textId="6B90EE64" w:rsidR="00F94475" w:rsidRDefault="00F94475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F94475">
              <w:rPr>
                <w:sz w:val="24"/>
                <w:szCs w:val="24"/>
                <w:lang w:val="tr-TR"/>
              </w:rPr>
              <w:t>4/11/1981</w:t>
            </w:r>
            <w:proofErr w:type="gramEnd"/>
            <w:r w:rsidRPr="00F94475">
              <w:rPr>
                <w:sz w:val="24"/>
                <w:szCs w:val="24"/>
                <w:lang w:val="tr-TR"/>
              </w:rPr>
              <w:t xml:space="preserve"> tarihli ve 2547 sayılı Yükseköğretim Kanunu’nun 7 ve 12 </w:t>
            </w:r>
            <w:proofErr w:type="spellStart"/>
            <w:r w:rsidRPr="00F94475">
              <w:rPr>
                <w:sz w:val="24"/>
                <w:szCs w:val="24"/>
                <w:lang w:val="tr-TR"/>
              </w:rPr>
              <w:t>nci</w:t>
            </w:r>
            <w:proofErr w:type="spellEnd"/>
            <w:r w:rsidRPr="00F94475">
              <w:rPr>
                <w:sz w:val="24"/>
                <w:szCs w:val="24"/>
                <w:lang w:val="tr-TR"/>
              </w:rPr>
              <w:t xml:space="preserve"> maddeleri ile Kütahya Sağlık Bilimleri Üniversitesi Merkezi Araştırma Laboratuvarı Uygulama Ve Araştırma Merkezi Yönetmeliğine dayanılarak hazırlanmıştır.</w:t>
            </w:r>
          </w:p>
          <w:p w14:paraId="5E4E2B58" w14:textId="77777777" w:rsidR="00B71B0B" w:rsidRPr="00B7600F" w:rsidRDefault="00B71B0B" w:rsidP="008C227A">
            <w:pPr>
              <w:pStyle w:val="TableParagraph"/>
              <w:ind w:right="113"/>
              <w:jc w:val="both"/>
              <w:rPr>
                <w:sz w:val="24"/>
                <w:szCs w:val="24"/>
              </w:rPr>
            </w:pPr>
          </w:p>
        </w:tc>
      </w:tr>
      <w:tr w:rsidR="00B71B0B" w:rsidRPr="00C937F0" w14:paraId="40DC1400" w14:textId="77777777" w:rsidTr="009939F0">
        <w:trPr>
          <w:trHeight w:val="6275"/>
        </w:trPr>
        <w:tc>
          <w:tcPr>
            <w:tcW w:w="1118" w:type="pct"/>
          </w:tcPr>
          <w:p w14:paraId="285210A6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Temel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37F0">
              <w:rPr>
                <w:b/>
                <w:sz w:val="24"/>
                <w:szCs w:val="24"/>
              </w:rPr>
              <w:t xml:space="preserve">Görev </w:t>
            </w:r>
            <w:r w:rsidRPr="00C937F0">
              <w:rPr>
                <w:b/>
                <w:spacing w:val="-5"/>
                <w:sz w:val="24"/>
                <w:szCs w:val="24"/>
              </w:rPr>
              <w:t>ve</w:t>
            </w:r>
          </w:p>
          <w:p w14:paraId="6F556A5F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pacing w:val="-2"/>
                <w:sz w:val="24"/>
                <w:szCs w:val="24"/>
              </w:rPr>
              <w:t>Sorumlulukları</w:t>
            </w:r>
          </w:p>
        </w:tc>
        <w:tc>
          <w:tcPr>
            <w:tcW w:w="3882" w:type="pct"/>
          </w:tcPr>
          <w:p w14:paraId="23B00E6E" w14:textId="77777777" w:rsidR="00F94475" w:rsidRDefault="00F94475" w:rsidP="00F94475">
            <w:pPr>
              <w:pStyle w:val="TableParagraph"/>
              <w:tabs>
                <w:tab w:val="left" w:pos="525"/>
              </w:tabs>
              <w:ind w:left="1221" w:right="113"/>
              <w:rPr>
                <w:sz w:val="24"/>
                <w:szCs w:val="24"/>
              </w:rPr>
            </w:pPr>
          </w:p>
          <w:p w14:paraId="3CF4B7D5" w14:textId="77777777" w:rsidR="00F94475" w:rsidRDefault="00F94475" w:rsidP="00F94475">
            <w:pPr>
              <w:pStyle w:val="TableParagraph"/>
              <w:tabs>
                <w:tab w:val="left" w:pos="525"/>
              </w:tabs>
              <w:ind w:left="1221" w:right="113"/>
              <w:rPr>
                <w:sz w:val="24"/>
                <w:szCs w:val="24"/>
              </w:rPr>
            </w:pPr>
          </w:p>
          <w:p w14:paraId="6F66B240" w14:textId="197A2F96" w:rsidR="00B71B0B" w:rsidRDefault="00C66126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  <w:lang w:val="tr-TR"/>
              </w:rPr>
            </w:pPr>
            <w:r w:rsidRPr="00C66126">
              <w:rPr>
                <w:sz w:val="24"/>
                <w:szCs w:val="24"/>
                <w:lang w:val="tr-TR"/>
              </w:rPr>
              <w:t>Laboratuvarlar</w:t>
            </w:r>
            <w:r>
              <w:rPr>
                <w:sz w:val="24"/>
                <w:szCs w:val="24"/>
                <w:lang w:val="tr-TR"/>
              </w:rPr>
              <w:t>ın</w:t>
            </w:r>
            <w:r w:rsidRPr="00C66126">
              <w:rPr>
                <w:sz w:val="24"/>
                <w:szCs w:val="24"/>
                <w:lang w:val="tr-TR"/>
              </w:rPr>
              <w:t xml:space="preserve"> randevu usulü ile çalış</w:t>
            </w:r>
            <w:r>
              <w:rPr>
                <w:sz w:val="24"/>
                <w:szCs w:val="24"/>
                <w:lang w:val="tr-TR"/>
              </w:rPr>
              <w:t>masını sağlamak</w:t>
            </w:r>
            <w:r w:rsidRPr="00C66126">
              <w:rPr>
                <w:sz w:val="24"/>
                <w:szCs w:val="24"/>
                <w:lang w:val="tr-TR"/>
              </w:rPr>
              <w:t>. Laboratuvara analiz için</w:t>
            </w:r>
            <w:r>
              <w:rPr>
                <w:sz w:val="24"/>
                <w:szCs w:val="24"/>
                <w:lang w:val="tr-TR"/>
              </w:rPr>
              <w:t xml:space="preserve"> </w:t>
            </w:r>
            <w:r w:rsidRPr="00C66126">
              <w:rPr>
                <w:sz w:val="24"/>
                <w:szCs w:val="24"/>
                <w:lang w:val="tr-TR"/>
              </w:rPr>
              <w:t>başvuruda bulunanlar ilgili analizin hangi yöntemle yapılacağına dair detaylı başvuru formunu doldurarak Koordinatörlüğe onay başvurusu yaptıktan sonra işlemlere başla</w:t>
            </w:r>
            <w:r>
              <w:rPr>
                <w:sz w:val="24"/>
                <w:szCs w:val="24"/>
                <w:lang w:val="tr-TR"/>
              </w:rPr>
              <w:t>mak</w:t>
            </w:r>
            <w:r w:rsidR="00283AE4">
              <w:rPr>
                <w:sz w:val="24"/>
                <w:szCs w:val="24"/>
                <w:lang w:val="tr-TR"/>
              </w:rPr>
              <w:t xml:space="preserve"> ve ilgili laboratuvarlardaki analizleri gerçekleştirmek.</w:t>
            </w:r>
          </w:p>
          <w:p w14:paraId="630DF95E" w14:textId="77777777" w:rsidR="00C66126" w:rsidRDefault="00C66126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</w:p>
          <w:p w14:paraId="38D50173" w14:textId="77777777" w:rsidR="00C66126" w:rsidRDefault="00C66126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  <w:lang w:val="tr-TR"/>
              </w:rPr>
            </w:pPr>
            <w:r w:rsidRPr="00C66126">
              <w:rPr>
                <w:sz w:val="24"/>
                <w:szCs w:val="24"/>
                <w:lang w:val="tr-TR"/>
              </w:rPr>
              <w:t>Laboratuvar demirbaş cihazları hiçbir şekilde laboratuvar dışında kullanılma</w:t>
            </w:r>
            <w:r>
              <w:rPr>
                <w:sz w:val="24"/>
                <w:szCs w:val="24"/>
                <w:lang w:val="tr-TR"/>
              </w:rPr>
              <w:t>masını sağlamak</w:t>
            </w:r>
            <w:r w:rsidRPr="00C66126">
              <w:rPr>
                <w:sz w:val="24"/>
                <w:szCs w:val="24"/>
                <w:lang w:val="tr-TR"/>
              </w:rPr>
              <w:t>, laboratuvar taşınır kayıt listesinde yer al</w:t>
            </w:r>
            <w:r>
              <w:rPr>
                <w:sz w:val="24"/>
                <w:szCs w:val="24"/>
                <w:lang w:val="tr-TR"/>
              </w:rPr>
              <w:t>masını sağlamak,</w:t>
            </w:r>
            <w:r w:rsidRPr="00C66126">
              <w:rPr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kı</w:t>
            </w:r>
            <w:r w:rsidRPr="00C66126">
              <w:rPr>
                <w:sz w:val="24"/>
                <w:szCs w:val="24"/>
                <w:lang w:val="tr-TR"/>
              </w:rPr>
              <w:t xml:space="preserve">rılan veya zarar gören cihazlarla ilgili ivedilikle Koordinatörlüğe yazılı bildirim </w:t>
            </w:r>
            <w:r>
              <w:rPr>
                <w:sz w:val="24"/>
                <w:szCs w:val="24"/>
                <w:lang w:val="tr-TR"/>
              </w:rPr>
              <w:t>yapmak.</w:t>
            </w:r>
          </w:p>
          <w:p w14:paraId="08651FFE" w14:textId="77777777" w:rsidR="00C66126" w:rsidRDefault="00C66126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</w:p>
          <w:p w14:paraId="1383F451" w14:textId="77777777" w:rsidR="00C66126" w:rsidRDefault="00C66126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  <w:lang w:val="tr-TR"/>
              </w:rPr>
            </w:pPr>
            <w:r w:rsidRPr="00C66126">
              <w:rPr>
                <w:sz w:val="24"/>
                <w:szCs w:val="24"/>
                <w:lang w:val="tr-TR"/>
              </w:rPr>
              <w:t>Laboratuvarda kullanılacak olan sarf malzemeleri Taşınır Kayıt Yetkilisinden talep edil</w:t>
            </w:r>
            <w:r>
              <w:rPr>
                <w:sz w:val="24"/>
                <w:szCs w:val="24"/>
                <w:lang w:val="tr-TR"/>
              </w:rPr>
              <w:t>erek kullanmak ve</w:t>
            </w:r>
            <w:r w:rsidRPr="00C66126">
              <w:rPr>
                <w:sz w:val="24"/>
                <w:szCs w:val="24"/>
                <w:lang w:val="tr-TR"/>
              </w:rPr>
              <w:t xml:space="preserve"> biten sarf malzemelerinin </w:t>
            </w:r>
            <w:proofErr w:type="spellStart"/>
            <w:r w:rsidRPr="00C66126">
              <w:rPr>
                <w:sz w:val="24"/>
                <w:szCs w:val="24"/>
                <w:lang w:val="tr-TR"/>
              </w:rPr>
              <w:t>tedariği</w:t>
            </w:r>
            <w:proofErr w:type="spellEnd"/>
            <w:r w:rsidRPr="00C66126">
              <w:rPr>
                <w:sz w:val="24"/>
                <w:szCs w:val="24"/>
                <w:lang w:val="tr-TR"/>
              </w:rPr>
              <w:t xml:space="preserve"> Koordinatör vasıtasıyla talep e</w:t>
            </w:r>
            <w:r>
              <w:rPr>
                <w:sz w:val="24"/>
                <w:szCs w:val="24"/>
                <w:lang w:val="tr-TR"/>
              </w:rPr>
              <w:t>tmek.</w:t>
            </w:r>
          </w:p>
          <w:p w14:paraId="6BE5EB07" w14:textId="77777777" w:rsidR="0044325D" w:rsidRDefault="0044325D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</w:p>
          <w:p w14:paraId="0E3275C1" w14:textId="31A086CC" w:rsidR="0044325D" w:rsidRPr="00C937F0" w:rsidRDefault="0044325D" w:rsidP="00C66126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İlgili laboratuvarlardaki cihazların “cihaz kullanım ve bakım talimatlarını” kullanarak yerine getirerek kalibrasyon takibinden sorumludur.</w:t>
            </w:r>
          </w:p>
        </w:tc>
      </w:tr>
    </w:tbl>
    <w:p w14:paraId="55F82841" w14:textId="77777777" w:rsidR="00A93971" w:rsidRDefault="00A93971" w:rsidP="00C937F0"/>
    <w:sectPr w:rsidR="00A939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25EF2" w14:textId="77777777" w:rsidR="00347130" w:rsidRDefault="00347130" w:rsidP="00233948">
      <w:pPr>
        <w:spacing w:after="0" w:line="240" w:lineRule="auto"/>
      </w:pPr>
      <w:r>
        <w:separator/>
      </w:r>
    </w:p>
  </w:endnote>
  <w:endnote w:type="continuationSeparator" w:id="0">
    <w:p w14:paraId="430F953F" w14:textId="77777777" w:rsidR="00347130" w:rsidRDefault="00347130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B784" w14:textId="77777777" w:rsidR="00764723" w:rsidRDefault="00764723">
    <w:pPr>
      <w:pStyle w:val="Al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991"/>
      <w:gridCol w:w="5071"/>
    </w:tblGrid>
    <w:tr w:rsidR="00764723" w14:paraId="4975EA19" w14:textId="77777777" w:rsidTr="00764723">
      <w:trPr>
        <w:trHeight w:val="296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F03225" w14:textId="77777777" w:rsidR="00764723" w:rsidRDefault="00764723" w:rsidP="00764723">
          <w:pPr>
            <w:pStyle w:val="AltBilgi"/>
            <w:jc w:val="center"/>
          </w:pPr>
          <w:r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C0A490" w14:textId="77777777" w:rsidR="00764723" w:rsidRDefault="00764723" w:rsidP="00764723">
          <w:pPr>
            <w:pStyle w:val="AltBilgi"/>
            <w:jc w:val="center"/>
          </w:pPr>
          <w:r>
            <w:t xml:space="preserve">Onaylayan </w:t>
          </w:r>
        </w:p>
      </w:tc>
    </w:tr>
    <w:tr w:rsidR="00764723" w14:paraId="6E9E2D45" w14:textId="77777777" w:rsidTr="00764723">
      <w:trPr>
        <w:trHeight w:val="245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A2AD5A" w14:textId="4BB87A6A" w:rsidR="00764723" w:rsidRDefault="008870AF" w:rsidP="00764723">
          <w:pPr>
            <w:pStyle w:val="AltBilgi"/>
            <w:jc w:val="center"/>
          </w:pPr>
          <w:r>
            <w:t xml:space="preserve">Kalite </w:t>
          </w:r>
          <w:r w:rsidR="00B7600F">
            <w:t>Koordinatörlüğü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E14198" w14:textId="77777777" w:rsidR="00764723" w:rsidRDefault="00764723" w:rsidP="00764723">
          <w:pPr>
            <w:pStyle w:val="AltBilgi"/>
            <w:jc w:val="center"/>
          </w:pPr>
          <w:r>
            <w:t>Rektör</w:t>
          </w:r>
        </w:p>
      </w:tc>
    </w:tr>
  </w:tbl>
  <w:p w14:paraId="453BB417" w14:textId="77777777" w:rsidR="0025304B" w:rsidRPr="001A37D5" w:rsidRDefault="0025304B" w:rsidP="0025304B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</w:p>
  <w:p w14:paraId="1E78B24B" w14:textId="77777777" w:rsidR="00764723" w:rsidRDefault="00764723">
    <w:pPr>
      <w:pStyle w:val="AltBilgi"/>
    </w:pPr>
  </w:p>
  <w:p w14:paraId="175CBC38" w14:textId="77777777" w:rsidR="00764723" w:rsidRDefault="007647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6ACA8" w14:textId="77777777" w:rsidR="00347130" w:rsidRDefault="00347130" w:rsidP="00233948">
      <w:pPr>
        <w:spacing w:after="0" w:line="240" w:lineRule="auto"/>
      </w:pPr>
      <w:r>
        <w:separator/>
      </w:r>
    </w:p>
  </w:footnote>
  <w:footnote w:type="continuationSeparator" w:id="0">
    <w:p w14:paraId="171FD62C" w14:textId="77777777" w:rsidR="00347130" w:rsidRDefault="00347130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3C96" w14:textId="77777777" w:rsidR="00233948" w:rsidRDefault="00233948">
    <w:pPr>
      <w:pStyle w:val="stBilgi"/>
    </w:pPr>
  </w:p>
  <w:tbl>
    <w:tblPr>
      <w:tblW w:w="524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7"/>
      <w:gridCol w:w="4796"/>
      <w:gridCol w:w="1744"/>
      <w:gridCol w:w="1430"/>
    </w:tblGrid>
    <w:tr w:rsidR="00233948" w:rsidRPr="00073FCF" w14:paraId="610EEC00" w14:textId="77777777" w:rsidTr="008870AF">
      <w:trPr>
        <w:trHeight w:val="343"/>
        <w:jc w:val="center"/>
      </w:trPr>
      <w:tc>
        <w:tcPr>
          <w:tcW w:w="804" w:type="pct"/>
          <w:vMerge w:val="restart"/>
          <w:tcBorders>
            <w:right w:val="nil"/>
          </w:tcBorders>
          <w:vAlign w:val="center"/>
        </w:tcPr>
        <w:p w14:paraId="4FF53935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626E635" wp14:editId="729F888E">
                <wp:simplePos x="0" y="0"/>
                <wp:positionH relativeFrom="column">
                  <wp:posOffset>29210</wp:posOffset>
                </wp:positionH>
                <wp:positionV relativeFrom="paragraph">
                  <wp:posOffset>-3810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4" w:type="pct"/>
          <w:vMerge w:val="restart"/>
          <w:tcBorders>
            <w:right w:val="single" w:sz="4" w:space="0" w:color="auto"/>
          </w:tcBorders>
          <w:vAlign w:val="center"/>
        </w:tcPr>
        <w:p w14:paraId="0DA083B1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T.C.</w:t>
          </w:r>
        </w:p>
        <w:p w14:paraId="61E8E42E" w14:textId="6D820ED0" w:rsidR="00233948" w:rsidRPr="00B7600F" w:rsidRDefault="00233948" w:rsidP="008870A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KÜTAHYA SAĞLIK BİLİMLERİ ÜNİVERSİTESİ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3E86B278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7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507985CD" w14:textId="120539AB" w:rsidR="00233948" w:rsidRPr="00B7600F" w:rsidRDefault="008870AF" w:rsidP="008870AF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KUYAM.GT5</w:t>
          </w:r>
        </w:p>
      </w:tc>
    </w:tr>
    <w:tr w:rsidR="00233948" w:rsidRPr="00073FCF" w14:paraId="45C9774A" w14:textId="77777777" w:rsidTr="008870AF">
      <w:trPr>
        <w:trHeight w:val="343"/>
        <w:jc w:val="center"/>
      </w:trPr>
      <w:tc>
        <w:tcPr>
          <w:tcW w:w="804" w:type="pct"/>
          <w:vMerge/>
          <w:tcBorders>
            <w:bottom w:val="single" w:sz="4" w:space="0" w:color="auto"/>
            <w:right w:val="nil"/>
          </w:tcBorders>
          <w:vAlign w:val="center"/>
        </w:tcPr>
        <w:p w14:paraId="1480B6BC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524" w:type="pct"/>
          <w:vMerge/>
          <w:tcBorders>
            <w:right w:val="single" w:sz="4" w:space="0" w:color="auto"/>
          </w:tcBorders>
          <w:vAlign w:val="center"/>
        </w:tcPr>
        <w:p w14:paraId="28EF1201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69283AE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753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DD2A9D0" w14:textId="77777777" w:rsidR="00233948" w:rsidRPr="00B7600F" w:rsidRDefault="00B7600F" w:rsidP="00B7600F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02.01.2024</w:t>
          </w:r>
        </w:p>
      </w:tc>
    </w:tr>
    <w:tr w:rsidR="00233948" w:rsidRPr="00073FCF" w14:paraId="074EE5A4" w14:textId="77777777" w:rsidTr="008870AF">
      <w:trPr>
        <w:trHeight w:val="343"/>
        <w:jc w:val="center"/>
      </w:trPr>
      <w:tc>
        <w:tcPr>
          <w:tcW w:w="804" w:type="pct"/>
          <w:vMerge/>
          <w:vAlign w:val="center"/>
        </w:tcPr>
        <w:p w14:paraId="5CF22CEB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524" w:type="pct"/>
          <w:vMerge/>
          <w:tcBorders>
            <w:right w:val="single" w:sz="4" w:space="0" w:color="auto"/>
          </w:tcBorders>
          <w:vAlign w:val="center"/>
        </w:tcPr>
        <w:p w14:paraId="51B227CF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3AAE1461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7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4350A175" w14:textId="77777777" w:rsidR="00233948" w:rsidRPr="00B7600F" w:rsidRDefault="00B7600F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00</w:t>
          </w:r>
        </w:p>
      </w:tc>
    </w:tr>
    <w:tr w:rsidR="00233948" w:rsidRPr="00073FCF" w14:paraId="6309B781" w14:textId="77777777" w:rsidTr="008870AF">
      <w:trPr>
        <w:trHeight w:val="343"/>
        <w:jc w:val="center"/>
      </w:trPr>
      <w:tc>
        <w:tcPr>
          <w:tcW w:w="804" w:type="pct"/>
          <w:vMerge/>
          <w:vAlign w:val="center"/>
        </w:tcPr>
        <w:p w14:paraId="78CC79C6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524" w:type="pct"/>
          <w:tcBorders>
            <w:right w:val="single" w:sz="4" w:space="0" w:color="auto"/>
          </w:tcBorders>
          <w:vAlign w:val="center"/>
        </w:tcPr>
        <w:p w14:paraId="57689FC8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shd w:val="clear" w:color="auto" w:fill="auto"/>
          <w:vAlign w:val="center"/>
        </w:tcPr>
        <w:p w14:paraId="63C6A96D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753" w:type="pct"/>
          <w:tcBorders>
            <w:left w:val="single" w:sz="4" w:space="0" w:color="auto"/>
          </w:tcBorders>
          <w:vAlign w:val="center"/>
        </w:tcPr>
        <w:p w14:paraId="575E9868" w14:textId="77777777" w:rsidR="00233948" w:rsidRPr="00B7600F" w:rsidRDefault="00233948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</w:tr>
  </w:tbl>
  <w:p w14:paraId="06D1B505" w14:textId="77777777" w:rsidR="00233948" w:rsidRDefault="00233948">
    <w:pPr>
      <w:pStyle w:val="stBilgi"/>
    </w:pPr>
  </w:p>
  <w:p w14:paraId="361A3C89" w14:textId="77777777" w:rsidR="00233948" w:rsidRDefault="002339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0F8D"/>
    <w:multiLevelType w:val="hybridMultilevel"/>
    <w:tmpl w:val="9B94E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7618D"/>
    <w:multiLevelType w:val="hybridMultilevel"/>
    <w:tmpl w:val="5FF6F8A2"/>
    <w:lvl w:ilvl="0" w:tplc="041F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73FCF"/>
    <w:rsid w:val="00171446"/>
    <w:rsid w:val="00184B09"/>
    <w:rsid w:val="00233948"/>
    <w:rsid w:val="00234023"/>
    <w:rsid w:val="0025304B"/>
    <w:rsid w:val="002531C5"/>
    <w:rsid w:val="00283AE4"/>
    <w:rsid w:val="002D4EF3"/>
    <w:rsid w:val="00347130"/>
    <w:rsid w:val="00397F73"/>
    <w:rsid w:val="003A35D7"/>
    <w:rsid w:val="003E0E60"/>
    <w:rsid w:val="00420E4D"/>
    <w:rsid w:val="0044325D"/>
    <w:rsid w:val="00471A44"/>
    <w:rsid w:val="004F2976"/>
    <w:rsid w:val="00533CDD"/>
    <w:rsid w:val="005B00A0"/>
    <w:rsid w:val="00764723"/>
    <w:rsid w:val="008870AF"/>
    <w:rsid w:val="008A3750"/>
    <w:rsid w:val="008C227A"/>
    <w:rsid w:val="009050A1"/>
    <w:rsid w:val="00991F23"/>
    <w:rsid w:val="009939F0"/>
    <w:rsid w:val="00A93971"/>
    <w:rsid w:val="00B71B0B"/>
    <w:rsid w:val="00B7600F"/>
    <w:rsid w:val="00BB6572"/>
    <w:rsid w:val="00C66126"/>
    <w:rsid w:val="00C72675"/>
    <w:rsid w:val="00C937F0"/>
    <w:rsid w:val="00E32200"/>
    <w:rsid w:val="00E42EF8"/>
    <w:rsid w:val="00E906EC"/>
    <w:rsid w:val="00ED2559"/>
    <w:rsid w:val="00F2464F"/>
    <w:rsid w:val="00F64D80"/>
    <w:rsid w:val="00F94475"/>
    <w:rsid w:val="00FC7B56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C589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2025-08-08T11:54:00Z</dcterms:created>
  <dcterms:modified xsi:type="dcterms:W3CDTF">2025-08-08T11:54:00Z</dcterms:modified>
</cp:coreProperties>
</file>